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79A40" w14:textId="2F0390BD" w:rsidR="00807E7D" w:rsidRPr="0078707E" w:rsidRDefault="009E02A1" w:rsidP="00807E7D">
      <w:pPr>
        <w:pStyle w:val="Default"/>
      </w:pPr>
      <w:r>
        <w:t>August 18</w:t>
      </w:r>
      <w:r w:rsidR="00EE6C61" w:rsidRPr="0078707E">
        <w:t>, 2025</w:t>
      </w:r>
    </w:p>
    <w:p w14:paraId="4ACF31A3" w14:textId="77777777" w:rsidR="00807E7D" w:rsidRPr="0078707E" w:rsidRDefault="00807E7D" w:rsidP="00807E7D">
      <w:pPr>
        <w:pStyle w:val="Default"/>
      </w:pPr>
    </w:p>
    <w:p w14:paraId="6B2552D4" w14:textId="68B99426" w:rsidR="00807E7D" w:rsidRPr="003D0C45" w:rsidRDefault="00EE6C61" w:rsidP="00807E7D">
      <w:pPr>
        <w:pStyle w:val="Default"/>
        <w:rPr>
          <w:b/>
          <w:bCs/>
        </w:rPr>
      </w:pPr>
      <w:r w:rsidRPr="003D0C45">
        <w:rPr>
          <w:b/>
          <w:bCs/>
        </w:rPr>
        <w:t xml:space="preserve">Intercounty Members Access to </w:t>
      </w:r>
      <w:r w:rsidR="009E02A1">
        <w:rPr>
          <w:b/>
          <w:bCs/>
        </w:rPr>
        <w:t>Samsung</w:t>
      </w:r>
      <w:r w:rsidRPr="003D0C45">
        <w:rPr>
          <w:b/>
          <w:bCs/>
        </w:rPr>
        <w:t xml:space="preserve"> Instant Rebate</w:t>
      </w:r>
      <w:r w:rsidR="00807E7D" w:rsidRPr="003D0C45">
        <w:rPr>
          <w:b/>
          <w:bCs/>
        </w:rPr>
        <w:t xml:space="preserve"> </w:t>
      </w:r>
    </w:p>
    <w:p w14:paraId="429F5307" w14:textId="77777777" w:rsidR="00807E7D" w:rsidRPr="0078707E" w:rsidRDefault="00807E7D" w:rsidP="00807E7D">
      <w:pPr>
        <w:pStyle w:val="Default"/>
      </w:pPr>
    </w:p>
    <w:p w14:paraId="713CE3F6" w14:textId="3D29DF19" w:rsidR="004727F9" w:rsidRDefault="004727F9" w:rsidP="00807E7D">
      <w:pPr>
        <w:pStyle w:val="Default"/>
      </w:pPr>
      <w:r w:rsidRPr="0078707E">
        <w:t xml:space="preserve">Intercounty Appliance Corp, in partnership with </w:t>
      </w:r>
      <w:r w:rsidR="009E02A1">
        <w:t>Samsung</w:t>
      </w:r>
      <w:r w:rsidRPr="0078707E">
        <w:t xml:space="preserve">, are excited to announce that our members now can offer the </w:t>
      </w:r>
      <w:r w:rsidR="009E02A1">
        <w:t>Samsung</w:t>
      </w:r>
      <w:r w:rsidRPr="0078707E">
        <w:t xml:space="preserve"> Consumer Rebates Instant at the time of the customer sale. Instead of offering a mail in rebate, members will give the discount upfront off of the sale price.</w:t>
      </w:r>
      <w:r w:rsidR="00CE180F" w:rsidRPr="0078707E">
        <w:t xml:space="preserve"> This will allow our members to be competitive against the other retailers in the marketplace. </w:t>
      </w:r>
      <w:r w:rsidR="009E02A1">
        <w:t xml:space="preserve">This is the same opportunity we started with LG earlier this year. </w:t>
      </w:r>
    </w:p>
    <w:p w14:paraId="3921E933" w14:textId="77777777" w:rsidR="009E02A1" w:rsidRPr="0078707E" w:rsidRDefault="009E02A1" w:rsidP="00807E7D">
      <w:pPr>
        <w:pStyle w:val="Default"/>
      </w:pPr>
    </w:p>
    <w:p w14:paraId="1A53EF4E" w14:textId="37D2AF70" w:rsidR="004727F9" w:rsidRPr="0078707E" w:rsidRDefault="004727F9" w:rsidP="00807E7D">
      <w:pPr>
        <w:pStyle w:val="Default"/>
      </w:pPr>
      <w:r w:rsidRPr="0078707E">
        <w:t xml:space="preserve">Effective Date: </w:t>
      </w:r>
      <w:r w:rsidR="009E02A1">
        <w:t>August 21,</w:t>
      </w:r>
      <w:r w:rsidRPr="0078707E">
        <w:t xml:space="preserve"> 2025</w:t>
      </w:r>
      <w:r w:rsidR="009E02A1">
        <w:t xml:space="preserve"> (Labor Day Promotion)</w:t>
      </w:r>
      <w:r w:rsidRPr="0078707E">
        <w:t xml:space="preserve"> </w:t>
      </w:r>
    </w:p>
    <w:p w14:paraId="260F6814" w14:textId="692429DA" w:rsidR="004727F9" w:rsidRPr="003D0C45" w:rsidRDefault="004727F9" w:rsidP="00807E7D">
      <w:pPr>
        <w:pStyle w:val="Default"/>
        <w:rPr>
          <w:b/>
          <w:bCs/>
        </w:rPr>
      </w:pPr>
      <w:r w:rsidRPr="003D0C45">
        <w:rPr>
          <w:b/>
          <w:bCs/>
        </w:rPr>
        <w:t xml:space="preserve">Important Facts: </w:t>
      </w:r>
    </w:p>
    <w:p w14:paraId="37D670F2" w14:textId="5523EEE6" w:rsidR="004727F9" w:rsidRPr="0078707E" w:rsidRDefault="004727F9" w:rsidP="004727F9">
      <w:pPr>
        <w:pStyle w:val="Default"/>
        <w:numPr>
          <w:ilvl w:val="0"/>
          <w:numId w:val="9"/>
        </w:numPr>
      </w:pPr>
      <w:r w:rsidRPr="0078707E">
        <w:t xml:space="preserve">This only applies to </w:t>
      </w:r>
      <w:r w:rsidR="009E02A1">
        <w:t>Samsung</w:t>
      </w:r>
      <w:r w:rsidRPr="0078707E">
        <w:t xml:space="preserve"> Manufacture </w:t>
      </w:r>
      <w:r w:rsidR="003D0C45">
        <w:t>R</w:t>
      </w:r>
      <w:r w:rsidRPr="0078707E">
        <w:t>ebates (NECO not included)</w:t>
      </w:r>
      <w:r w:rsidR="003D0C45">
        <w:t>.</w:t>
      </w:r>
      <w:r w:rsidRPr="0078707E">
        <w:t xml:space="preserve"> </w:t>
      </w:r>
    </w:p>
    <w:p w14:paraId="48A2DD4E" w14:textId="56329CE3" w:rsidR="004727F9" w:rsidRPr="0078707E" w:rsidRDefault="004727F9" w:rsidP="004727F9">
      <w:pPr>
        <w:pStyle w:val="Default"/>
        <w:numPr>
          <w:ilvl w:val="0"/>
          <w:numId w:val="9"/>
        </w:numPr>
      </w:pPr>
      <w:r w:rsidRPr="0078707E">
        <w:t>Members will need to claim back for credit to IAC</w:t>
      </w:r>
      <w:r w:rsidR="003D0C45">
        <w:t>.</w:t>
      </w:r>
    </w:p>
    <w:p w14:paraId="38DEDC20" w14:textId="4215B7A2" w:rsidR="0078707E" w:rsidRPr="0078707E" w:rsidRDefault="0078707E" w:rsidP="0078707E">
      <w:pPr>
        <w:pStyle w:val="Default"/>
        <w:numPr>
          <w:ilvl w:val="1"/>
          <w:numId w:val="9"/>
        </w:numPr>
      </w:pPr>
      <w:r w:rsidRPr="0078707E">
        <w:t>Submissions can be imported as bulk or individually</w:t>
      </w:r>
      <w:r w:rsidR="003D0C45">
        <w:t>.</w:t>
      </w:r>
    </w:p>
    <w:p w14:paraId="1C7E0205" w14:textId="74944FF8" w:rsidR="004727F9" w:rsidRPr="0078707E" w:rsidRDefault="004727F9" w:rsidP="004727F9">
      <w:pPr>
        <w:pStyle w:val="Default"/>
        <w:numPr>
          <w:ilvl w:val="0"/>
          <w:numId w:val="9"/>
        </w:numPr>
      </w:pPr>
      <w:r w:rsidRPr="0078707E">
        <w:t>Members are entitled to 7</w:t>
      </w:r>
      <w:r w:rsidR="009E02A1">
        <w:t>5</w:t>
      </w:r>
      <w:r w:rsidRPr="0078707E">
        <w:t>% Reimbursement for Rebate</w:t>
      </w:r>
      <w:r w:rsidR="003D0C45">
        <w:t>.</w:t>
      </w:r>
    </w:p>
    <w:p w14:paraId="46393272" w14:textId="559905FF" w:rsidR="004727F9" w:rsidRPr="0078707E" w:rsidRDefault="004727F9" w:rsidP="004727F9">
      <w:pPr>
        <w:pStyle w:val="Default"/>
        <w:numPr>
          <w:ilvl w:val="0"/>
          <w:numId w:val="9"/>
        </w:numPr>
      </w:pPr>
      <w:r w:rsidRPr="0078707E">
        <w:t>Submissions must be submitted within 30 days of closing of the promotion</w:t>
      </w:r>
      <w:r w:rsidR="003D0C45">
        <w:t>.</w:t>
      </w:r>
      <w:r w:rsidRPr="0078707E">
        <w:t xml:space="preserve"> </w:t>
      </w:r>
    </w:p>
    <w:p w14:paraId="2017C703" w14:textId="7F57A208" w:rsidR="006A3C1E" w:rsidRPr="0078707E" w:rsidRDefault="004727F9" w:rsidP="00807E7D">
      <w:pPr>
        <w:pStyle w:val="Default"/>
        <w:numPr>
          <w:ilvl w:val="0"/>
          <w:numId w:val="9"/>
        </w:numPr>
      </w:pPr>
      <w:r w:rsidRPr="0078707E">
        <w:t>IAC Members will only have access to the Instant Rebate version.</w:t>
      </w:r>
    </w:p>
    <w:p w14:paraId="40F679AA" w14:textId="6D119352" w:rsidR="004727F9" w:rsidRDefault="00CE180F" w:rsidP="00807E7D">
      <w:pPr>
        <w:pStyle w:val="Default"/>
        <w:rPr>
          <w:b/>
          <w:bCs/>
        </w:rPr>
      </w:pPr>
      <w:r w:rsidRPr="003D0C45">
        <w:rPr>
          <w:b/>
          <w:bCs/>
        </w:rPr>
        <w:t xml:space="preserve">How to Claim: </w:t>
      </w:r>
    </w:p>
    <w:p w14:paraId="7CAE7C0D" w14:textId="442418A8" w:rsidR="009E02A1" w:rsidRPr="009E02A1" w:rsidRDefault="009E02A1" w:rsidP="00807E7D">
      <w:pPr>
        <w:pStyle w:val="Default"/>
        <w:rPr>
          <w:i/>
          <w:iCs/>
        </w:rPr>
      </w:pPr>
      <w:r w:rsidRPr="009E02A1">
        <w:rPr>
          <w:i/>
          <w:iCs/>
        </w:rPr>
        <w:t>The claiming process will be the same as the existing programs for LG.</w:t>
      </w:r>
    </w:p>
    <w:p w14:paraId="22B66907" w14:textId="6FE0DF19" w:rsidR="00CE180F" w:rsidRPr="0078707E" w:rsidRDefault="009E02A1" w:rsidP="009E02A1">
      <w:pPr>
        <w:pStyle w:val="Default"/>
        <w:numPr>
          <w:ilvl w:val="0"/>
          <w:numId w:val="10"/>
        </w:numPr>
      </w:pPr>
      <w:r>
        <w:t>The submission form options are available on the home page of the Member Ordering Portal.</w:t>
      </w:r>
    </w:p>
    <w:p w14:paraId="6C83D590" w14:textId="04B55213" w:rsidR="006D4616" w:rsidRPr="0078707E" w:rsidRDefault="006D4616" w:rsidP="00195248">
      <w:pPr>
        <w:pStyle w:val="Default"/>
        <w:numPr>
          <w:ilvl w:val="0"/>
          <w:numId w:val="10"/>
        </w:numPr>
      </w:pPr>
      <w:r w:rsidRPr="0078707E">
        <w:t>Select the Promotion to Claim For</w:t>
      </w:r>
    </w:p>
    <w:p w14:paraId="78D68E1E" w14:textId="57E9BE53" w:rsidR="0078707E" w:rsidRDefault="0078707E" w:rsidP="00195248">
      <w:pPr>
        <w:pStyle w:val="Default"/>
        <w:numPr>
          <w:ilvl w:val="0"/>
          <w:numId w:val="10"/>
        </w:numPr>
      </w:pPr>
      <w:r w:rsidRPr="0078707E">
        <w:t>Select to Bulk Upload or Individual Entry</w:t>
      </w:r>
    </w:p>
    <w:p w14:paraId="0DACD67D" w14:textId="3026562E" w:rsidR="00195248" w:rsidRPr="003D0C45" w:rsidRDefault="00195248" w:rsidP="00195248">
      <w:pPr>
        <w:pStyle w:val="Default"/>
        <w:rPr>
          <w:b/>
          <w:bCs/>
        </w:rPr>
      </w:pPr>
      <w:r w:rsidRPr="003D0C45">
        <w:rPr>
          <w:b/>
          <w:bCs/>
        </w:rPr>
        <w:t xml:space="preserve">Bulk Upload: </w:t>
      </w:r>
    </w:p>
    <w:p w14:paraId="617518F5" w14:textId="20DBB22E" w:rsidR="00195248" w:rsidRDefault="00195248" w:rsidP="00195248">
      <w:pPr>
        <w:pStyle w:val="Default"/>
        <w:numPr>
          <w:ilvl w:val="0"/>
          <w:numId w:val="12"/>
        </w:numPr>
      </w:pPr>
      <w:r>
        <w:t xml:space="preserve">Complete the </w:t>
      </w:r>
      <w:r w:rsidRPr="00195248">
        <w:rPr>
          <w:u w:val="single"/>
        </w:rPr>
        <w:t>Submission Template</w:t>
      </w:r>
    </w:p>
    <w:p w14:paraId="25D7365C" w14:textId="22B6FF83" w:rsidR="00195248" w:rsidRDefault="00195248" w:rsidP="00195248">
      <w:pPr>
        <w:pStyle w:val="Default"/>
        <w:numPr>
          <w:ilvl w:val="0"/>
          <w:numId w:val="12"/>
        </w:numPr>
      </w:pPr>
      <w:r>
        <w:t xml:space="preserve">Select Dealer Name </w:t>
      </w:r>
      <w:proofErr w:type="gramStart"/>
      <w:r>
        <w:t>From</w:t>
      </w:r>
      <w:proofErr w:type="gramEnd"/>
      <w:r>
        <w:t xml:space="preserve"> Drop Down </w:t>
      </w:r>
    </w:p>
    <w:p w14:paraId="2760455D" w14:textId="2F646626" w:rsidR="00195248" w:rsidRDefault="00A43D33" w:rsidP="00195248">
      <w:pPr>
        <w:pStyle w:val="Default"/>
        <w:numPr>
          <w:ilvl w:val="0"/>
          <w:numId w:val="12"/>
        </w:numPr>
      </w:pPr>
      <w:r>
        <w:t>Type in</w:t>
      </w:r>
      <w:r w:rsidR="00195248">
        <w:t xml:space="preserve"> Email Address to Receive Confirmation of Submission</w:t>
      </w:r>
    </w:p>
    <w:p w14:paraId="0A6D6B38" w14:textId="11363372" w:rsidR="00195248" w:rsidRDefault="00195248" w:rsidP="00195248">
      <w:pPr>
        <w:pStyle w:val="Default"/>
        <w:numPr>
          <w:ilvl w:val="0"/>
          <w:numId w:val="12"/>
        </w:numPr>
      </w:pPr>
      <w:r>
        <w:t xml:space="preserve">Drop File </w:t>
      </w:r>
      <w:proofErr w:type="gramStart"/>
      <w:r>
        <w:t>Into</w:t>
      </w:r>
      <w:proofErr w:type="gramEnd"/>
      <w:r>
        <w:t xml:space="preserve"> Folder</w:t>
      </w:r>
    </w:p>
    <w:p w14:paraId="0F0565EF" w14:textId="32B15525" w:rsidR="003D0C45" w:rsidRDefault="003D0C45" w:rsidP="00195248">
      <w:pPr>
        <w:pStyle w:val="Default"/>
        <w:numPr>
          <w:ilvl w:val="0"/>
          <w:numId w:val="12"/>
        </w:numPr>
      </w:pPr>
      <w:r>
        <w:t xml:space="preserve">Receive email of confirmation </w:t>
      </w:r>
    </w:p>
    <w:p w14:paraId="77DC8D5B" w14:textId="3C601A06" w:rsidR="00195248" w:rsidRPr="003D0C45" w:rsidRDefault="00195248" w:rsidP="00195248">
      <w:pPr>
        <w:pStyle w:val="Default"/>
        <w:rPr>
          <w:b/>
          <w:bCs/>
        </w:rPr>
      </w:pPr>
      <w:r w:rsidRPr="003D0C45">
        <w:rPr>
          <w:b/>
          <w:bCs/>
        </w:rPr>
        <w:t xml:space="preserve">Individual Entry: </w:t>
      </w:r>
    </w:p>
    <w:p w14:paraId="37F6B53A" w14:textId="4D93C7F4" w:rsidR="00195248" w:rsidRDefault="00195248" w:rsidP="00195248">
      <w:pPr>
        <w:pStyle w:val="Default"/>
        <w:numPr>
          <w:ilvl w:val="0"/>
          <w:numId w:val="13"/>
        </w:numPr>
      </w:pPr>
      <w:r>
        <w:t xml:space="preserve">Select Dealer Name </w:t>
      </w:r>
      <w:proofErr w:type="gramStart"/>
      <w:r>
        <w:t>From</w:t>
      </w:r>
      <w:proofErr w:type="gramEnd"/>
      <w:r>
        <w:t xml:space="preserve"> Drop Down</w:t>
      </w:r>
    </w:p>
    <w:p w14:paraId="502825AE" w14:textId="7FA18FBF" w:rsidR="00195248" w:rsidRDefault="00A43D33" w:rsidP="00195248">
      <w:pPr>
        <w:pStyle w:val="Default"/>
        <w:numPr>
          <w:ilvl w:val="0"/>
          <w:numId w:val="13"/>
        </w:numPr>
      </w:pPr>
      <w:r>
        <w:t>Type in</w:t>
      </w:r>
      <w:r w:rsidR="00195248">
        <w:t xml:space="preserve"> Email Address to Receive Confirmation of Submission</w:t>
      </w:r>
    </w:p>
    <w:p w14:paraId="37FB205C" w14:textId="0EEC0A42" w:rsidR="00195248" w:rsidRDefault="00A43D33" w:rsidP="00195248">
      <w:pPr>
        <w:pStyle w:val="Default"/>
        <w:numPr>
          <w:ilvl w:val="0"/>
          <w:numId w:val="13"/>
        </w:numPr>
      </w:pPr>
      <w:r>
        <w:t>Type in Consumer Information</w:t>
      </w:r>
      <w:r w:rsidR="003D0C45">
        <w:t>, Models, Sales Order Information</w:t>
      </w:r>
      <w:r>
        <w:t xml:space="preserve"> as prompted</w:t>
      </w:r>
    </w:p>
    <w:p w14:paraId="3F67124F" w14:textId="06A89CE5" w:rsidR="003D0C45" w:rsidRDefault="003D0C45" w:rsidP="00195248">
      <w:pPr>
        <w:pStyle w:val="Default"/>
        <w:numPr>
          <w:ilvl w:val="0"/>
          <w:numId w:val="13"/>
        </w:numPr>
      </w:pPr>
      <w:r>
        <w:t>Submit Form</w:t>
      </w:r>
    </w:p>
    <w:p w14:paraId="3F2A7353" w14:textId="48F3FB20" w:rsidR="0078707E" w:rsidRDefault="003D0C45" w:rsidP="00807E7D">
      <w:pPr>
        <w:pStyle w:val="Default"/>
        <w:numPr>
          <w:ilvl w:val="0"/>
          <w:numId w:val="13"/>
        </w:numPr>
      </w:pPr>
      <w:r>
        <w:t xml:space="preserve">Receive email of confirmation. </w:t>
      </w:r>
    </w:p>
    <w:p w14:paraId="3A0A603E" w14:textId="77777777" w:rsidR="009E02A1" w:rsidRPr="009E02A1" w:rsidRDefault="009E02A1" w:rsidP="00807E7D">
      <w:pPr>
        <w:pStyle w:val="Default"/>
        <w:numPr>
          <w:ilvl w:val="0"/>
          <w:numId w:val="13"/>
        </w:numPr>
      </w:pPr>
    </w:p>
    <w:p w14:paraId="2097872A" w14:textId="77777777" w:rsidR="006A3C1E" w:rsidRPr="003D0C45" w:rsidRDefault="006A3C1E" w:rsidP="006A3C1E">
      <w:pPr>
        <w:pStyle w:val="Default"/>
        <w:rPr>
          <w:b/>
          <w:bCs/>
        </w:rPr>
      </w:pPr>
      <w:r w:rsidRPr="003D0C45">
        <w:rPr>
          <w:b/>
          <w:bCs/>
        </w:rPr>
        <w:t xml:space="preserve">Required Information for Claims: </w:t>
      </w:r>
    </w:p>
    <w:p w14:paraId="709EEED4" w14:textId="329F6993" w:rsidR="0078707E" w:rsidRPr="003D0C45" w:rsidRDefault="006A3C1E" w:rsidP="003D0C4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Dealer Name, Dealer IAC #, IAC Sales #, </w:t>
      </w:r>
      <w:r w:rsidR="009E02A1">
        <w:rPr>
          <w:sz w:val="23"/>
          <w:szCs w:val="23"/>
        </w:rPr>
        <w:t>Order Date</w:t>
      </w:r>
      <w:r w:rsidR="003D0C45">
        <w:rPr>
          <w:sz w:val="23"/>
          <w:szCs w:val="23"/>
        </w:rPr>
        <w:t xml:space="preserve">, Customer Name &amp; Delivery Information, Eligible Model Numbers, Consumer Rebate Amount. The Form will populate the reimbursement amount for you after submission. </w:t>
      </w:r>
      <w:r w:rsidR="0078707E">
        <w:tab/>
      </w:r>
    </w:p>
    <w:sectPr w:rsidR="0078707E" w:rsidRPr="003D0C45" w:rsidSect="0078707E">
      <w:headerReference w:type="default" r:id="rId7"/>
      <w:foot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1EF08" w14:textId="77777777" w:rsidR="00646EFD" w:rsidRDefault="00646EFD" w:rsidP="001220A5">
      <w:pPr>
        <w:spacing w:after="0" w:line="240" w:lineRule="auto"/>
      </w:pPr>
      <w:r>
        <w:separator/>
      </w:r>
    </w:p>
  </w:endnote>
  <w:endnote w:type="continuationSeparator" w:id="0">
    <w:p w14:paraId="6D61D369" w14:textId="77777777" w:rsidR="00646EFD" w:rsidRDefault="00646EFD" w:rsidP="0012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835FC" w14:textId="51CCE3DD" w:rsidR="003C709A" w:rsidRDefault="00713DC8">
    <w:pPr>
      <w:pStyle w:val="Footer"/>
      <w:jc w:val="right"/>
    </w:pPr>
    <w:r>
      <w:tab/>
    </w:r>
    <w:r>
      <w:tab/>
    </w:r>
    <w:r>
      <w:tab/>
    </w:r>
    <w:r>
      <w:tab/>
    </w:r>
  </w:p>
  <w:p w14:paraId="1437E2E6" w14:textId="77777777" w:rsidR="001220A5" w:rsidRDefault="001220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7AF84" w14:textId="77777777" w:rsidR="00646EFD" w:rsidRDefault="00646EFD" w:rsidP="001220A5">
      <w:pPr>
        <w:spacing w:after="0" w:line="240" w:lineRule="auto"/>
      </w:pPr>
      <w:r>
        <w:separator/>
      </w:r>
    </w:p>
  </w:footnote>
  <w:footnote w:type="continuationSeparator" w:id="0">
    <w:p w14:paraId="785EBDDE" w14:textId="77777777" w:rsidR="00646EFD" w:rsidRDefault="00646EFD" w:rsidP="00122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BBCF8" w14:textId="38249D2F" w:rsidR="00FA5907" w:rsidRDefault="0078707E" w:rsidP="0078707E">
    <w:pPr>
      <w:pStyle w:val="Header"/>
      <w:tabs>
        <w:tab w:val="left" w:pos="960"/>
        <w:tab w:val="left" w:pos="1965"/>
        <w:tab w:val="left" w:pos="2820"/>
      </w:tabs>
      <w:jc w:val="right"/>
      <w:rPr>
        <w:rFonts w:ascii="Calibri Light" w:hAnsi="Calibri Light"/>
        <w:color w:val="00206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B4D68A9" wp14:editId="3A71850A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2420620" cy="603250"/>
          <wp:effectExtent l="0" t="0" r="0" b="6350"/>
          <wp:wrapSquare wrapText="bothSides"/>
          <wp:docPr id="664401999" name="Picture 664401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02A1">
      <w:rPr>
        <w:rFonts w:ascii="Calibri Light" w:hAnsi="Calibri Light"/>
        <w:noProof/>
        <w:color w:val="002060"/>
      </w:rPr>
      <w:drawing>
        <wp:inline distT="0" distB="0" distL="0" distR="0" wp14:anchorId="47E8EBF4" wp14:editId="6E4716BD">
          <wp:extent cx="1505447" cy="640080"/>
          <wp:effectExtent l="0" t="0" r="0" b="7620"/>
          <wp:docPr id="182874697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447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A5907">
      <w:rPr>
        <w:rFonts w:ascii="Calibri Light" w:hAnsi="Calibri Light"/>
        <w:color w:val="002060"/>
      </w:rPr>
      <w:t xml:space="preserve"> </w:t>
    </w:r>
  </w:p>
  <w:p w14:paraId="462BD7F1" w14:textId="18404DBC" w:rsidR="0045277F" w:rsidRDefault="0045277F" w:rsidP="00713DC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26ADB"/>
    <w:multiLevelType w:val="hybridMultilevel"/>
    <w:tmpl w:val="5CDCE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6B9B"/>
    <w:multiLevelType w:val="hybridMultilevel"/>
    <w:tmpl w:val="DA207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E3F84"/>
    <w:multiLevelType w:val="hybridMultilevel"/>
    <w:tmpl w:val="FA541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854C8"/>
    <w:multiLevelType w:val="hybridMultilevel"/>
    <w:tmpl w:val="7720A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33C8D"/>
    <w:multiLevelType w:val="hybridMultilevel"/>
    <w:tmpl w:val="7B18A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50869"/>
    <w:multiLevelType w:val="hybridMultilevel"/>
    <w:tmpl w:val="888E2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B75F0"/>
    <w:multiLevelType w:val="hybridMultilevel"/>
    <w:tmpl w:val="7A84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11D55"/>
    <w:multiLevelType w:val="hybridMultilevel"/>
    <w:tmpl w:val="88162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25562"/>
    <w:multiLevelType w:val="hybridMultilevel"/>
    <w:tmpl w:val="BFA83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331DC"/>
    <w:multiLevelType w:val="hybridMultilevel"/>
    <w:tmpl w:val="F96A1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4109B"/>
    <w:multiLevelType w:val="hybridMultilevel"/>
    <w:tmpl w:val="92CC1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B3745"/>
    <w:multiLevelType w:val="hybridMultilevel"/>
    <w:tmpl w:val="28E6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04578"/>
    <w:multiLevelType w:val="hybridMultilevel"/>
    <w:tmpl w:val="06C4E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972188">
    <w:abstractNumId w:val="9"/>
  </w:num>
  <w:num w:numId="2" w16cid:durableId="334113081">
    <w:abstractNumId w:val="8"/>
  </w:num>
  <w:num w:numId="3" w16cid:durableId="2114083067">
    <w:abstractNumId w:val="2"/>
  </w:num>
  <w:num w:numId="4" w16cid:durableId="1187986603">
    <w:abstractNumId w:val="1"/>
  </w:num>
  <w:num w:numId="5" w16cid:durableId="1350252196">
    <w:abstractNumId w:val="0"/>
  </w:num>
  <w:num w:numId="6" w16cid:durableId="1464732479">
    <w:abstractNumId w:val="10"/>
  </w:num>
  <w:num w:numId="7" w16cid:durableId="1068763920">
    <w:abstractNumId w:val="12"/>
  </w:num>
  <w:num w:numId="8" w16cid:durableId="1219390944">
    <w:abstractNumId w:val="7"/>
  </w:num>
  <w:num w:numId="9" w16cid:durableId="398019076">
    <w:abstractNumId w:val="6"/>
  </w:num>
  <w:num w:numId="10" w16cid:durableId="141699818">
    <w:abstractNumId w:val="3"/>
  </w:num>
  <w:num w:numId="11" w16cid:durableId="475687463">
    <w:abstractNumId w:val="5"/>
  </w:num>
  <w:num w:numId="12" w16cid:durableId="499809045">
    <w:abstractNumId w:val="4"/>
  </w:num>
  <w:num w:numId="13" w16cid:durableId="5050506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64F"/>
    <w:rsid w:val="00063C5E"/>
    <w:rsid w:val="00081208"/>
    <w:rsid w:val="000D6797"/>
    <w:rsid w:val="000D7A3E"/>
    <w:rsid w:val="001220A5"/>
    <w:rsid w:val="00135493"/>
    <w:rsid w:val="00160583"/>
    <w:rsid w:val="00195248"/>
    <w:rsid w:val="00212B9C"/>
    <w:rsid w:val="00266B26"/>
    <w:rsid w:val="00272E45"/>
    <w:rsid w:val="0028141A"/>
    <w:rsid w:val="002E376B"/>
    <w:rsid w:val="00333032"/>
    <w:rsid w:val="003401EF"/>
    <w:rsid w:val="003C18F0"/>
    <w:rsid w:val="003C709A"/>
    <w:rsid w:val="003D0C45"/>
    <w:rsid w:val="004451A0"/>
    <w:rsid w:val="0045277F"/>
    <w:rsid w:val="004727F9"/>
    <w:rsid w:val="004B664F"/>
    <w:rsid w:val="004C7BC2"/>
    <w:rsid w:val="005A2A17"/>
    <w:rsid w:val="00646EFD"/>
    <w:rsid w:val="006A3C1E"/>
    <w:rsid w:val="006A7423"/>
    <w:rsid w:val="006C5FF4"/>
    <w:rsid w:val="006D3010"/>
    <w:rsid w:val="006D4616"/>
    <w:rsid w:val="006D75ED"/>
    <w:rsid w:val="00713DC8"/>
    <w:rsid w:val="00730B2A"/>
    <w:rsid w:val="0073697C"/>
    <w:rsid w:val="0078707E"/>
    <w:rsid w:val="007E0FAF"/>
    <w:rsid w:val="00803EAC"/>
    <w:rsid w:val="00807E7D"/>
    <w:rsid w:val="00830DC2"/>
    <w:rsid w:val="00833AE6"/>
    <w:rsid w:val="00835FD0"/>
    <w:rsid w:val="008B726F"/>
    <w:rsid w:val="009B0203"/>
    <w:rsid w:val="009E02A1"/>
    <w:rsid w:val="00A12DBC"/>
    <w:rsid w:val="00A43D33"/>
    <w:rsid w:val="00A64348"/>
    <w:rsid w:val="00AB4E6B"/>
    <w:rsid w:val="00AC283E"/>
    <w:rsid w:val="00AD0071"/>
    <w:rsid w:val="00AE05AD"/>
    <w:rsid w:val="00B3740C"/>
    <w:rsid w:val="00B7710C"/>
    <w:rsid w:val="00BB0845"/>
    <w:rsid w:val="00BE051B"/>
    <w:rsid w:val="00C43D5D"/>
    <w:rsid w:val="00CD4859"/>
    <w:rsid w:val="00CE180F"/>
    <w:rsid w:val="00D725D1"/>
    <w:rsid w:val="00E05041"/>
    <w:rsid w:val="00E073C2"/>
    <w:rsid w:val="00E24695"/>
    <w:rsid w:val="00E42BA6"/>
    <w:rsid w:val="00EB1B8B"/>
    <w:rsid w:val="00EE6C61"/>
    <w:rsid w:val="00F85273"/>
    <w:rsid w:val="00FA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61B6C8"/>
  <w15:chartTrackingRefBased/>
  <w15:docId w15:val="{BB6A329F-CE75-4200-AA49-B1982C622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4B664F"/>
    <w:pPr>
      <w:widowControl w:val="0"/>
      <w:autoSpaceDE w:val="0"/>
      <w:autoSpaceDN w:val="0"/>
      <w:spacing w:before="90" w:after="0" w:line="274" w:lineRule="exact"/>
      <w:ind w:left="10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B664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4B664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4B664F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B66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664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664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2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0A5"/>
  </w:style>
  <w:style w:type="paragraph" w:styleId="Footer">
    <w:name w:val="footer"/>
    <w:basedOn w:val="Normal"/>
    <w:link w:val="FooterChar"/>
    <w:uiPriority w:val="99"/>
    <w:unhideWhenUsed/>
    <w:rsid w:val="001220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0A5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0504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DC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07E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D461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46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Intercounty Appliance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Rodriguez</dc:creator>
  <cp:keywords/>
  <dc:description/>
  <cp:lastModifiedBy>Jessica M. Dzenkowski</cp:lastModifiedBy>
  <cp:revision>3</cp:revision>
  <cp:lastPrinted>2023-09-08T15:14:00Z</cp:lastPrinted>
  <dcterms:created xsi:type="dcterms:W3CDTF">2025-08-17T19:38:00Z</dcterms:created>
  <dcterms:modified xsi:type="dcterms:W3CDTF">2025-08-17T19:46:00Z</dcterms:modified>
</cp:coreProperties>
</file>